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37" w:rsidRDefault="00A84137" w:rsidP="00A84137">
      <w:pPr>
        <w:pStyle w:val="Header"/>
        <w:rPr>
          <w:rFonts w:ascii="Times New Roman" w:eastAsia="Times New Roman" w:hAnsi="Times New Roman" w:cs="Times New Roman"/>
          <w:sz w:val="20"/>
        </w:rPr>
      </w:pPr>
      <w:r w:rsidRPr="00406577">
        <w:rPr>
          <w:rFonts w:ascii="Times New Roman" w:eastAsia="Times New Roman" w:hAnsi="Times New Roman" w:cs="Times New Roman"/>
          <w:sz w:val="20"/>
        </w:rPr>
        <w:t>Indian Journal of Basic and Applied Medical Research; June 2016: Vol.-5, I</w:t>
      </w:r>
      <w:r w:rsidR="006A1991">
        <w:rPr>
          <w:rFonts w:ascii="Times New Roman" w:eastAsia="Times New Roman" w:hAnsi="Times New Roman" w:cs="Times New Roman"/>
          <w:sz w:val="20"/>
        </w:rPr>
        <w:t>ssue- 3, P. 489-494</w:t>
      </w:r>
    </w:p>
    <w:p w:rsidR="00A84137" w:rsidRPr="007A1984" w:rsidRDefault="00A84137" w:rsidP="00A84137">
      <w:pPr>
        <w:pStyle w:val="Header"/>
        <w:rPr>
          <w:rFonts w:ascii="Times New Roman" w:eastAsia="Times New Roman" w:hAnsi="Times New Roman" w:cs="Times New Roman"/>
          <w:sz w:val="20"/>
        </w:rPr>
      </w:pPr>
    </w:p>
    <w:p w:rsidR="006A1991" w:rsidRPr="00065386" w:rsidRDefault="006A1991" w:rsidP="006A1991">
      <w:pPr>
        <w:widowControl w:val="0"/>
        <w:autoSpaceDE w:val="0"/>
        <w:autoSpaceDN w:val="0"/>
        <w:adjustRightInd w:val="0"/>
        <w:spacing w:after="0" w:line="360" w:lineRule="auto"/>
        <w:rPr>
          <w:rFonts w:asciiTheme="majorHAnsi" w:hAnsiTheme="majorHAnsi"/>
          <w:b/>
          <w:bCs/>
          <w:sz w:val="24"/>
          <w:szCs w:val="24"/>
        </w:rPr>
      </w:pPr>
      <w:r w:rsidRPr="00065386">
        <w:rPr>
          <w:rFonts w:asciiTheme="majorHAnsi" w:hAnsiTheme="majorHAnsi"/>
          <w:b/>
          <w:bCs/>
          <w:sz w:val="24"/>
          <w:szCs w:val="24"/>
          <w:highlight w:val="lightGray"/>
        </w:rPr>
        <w:t>Original article:</w:t>
      </w:r>
    </w:p>
    <w:p w:rsidR="006A1991" w:rsidRPr="00065386" w:rsidRDefault="006A1991" w:rsidP="006A1991">
      <w:pPr>
        <w:widowControl w:val="0"/>
        <w:autoSpaceDE w:val="0"/>
        <w:autoSpaceDN w:val="0"/>
        <w:adjustRightInd w:val="0"/>
        <w:spacing w:after="0" w:line="360" w:lineRule="auto"/>
        <w:rPr>
          <w:rFonts w:asciiTheme="majorHAnsi" w:hAnsiTheme="majorHAnsi"/>
          <w:b/>
          <w:color w:val="1F497D" w:themeColor="text2"/>
          <w:sz w:val="28"/>
          <w:szCs w:val="28"/>
        </w:rPr>
      </w:pPr>
      <w:r w:rsidRPr="00065386">
        <w:rPr>
          <w:rFonts w:asciiTheme="majorHAnsi" w:hAnsiTheme="majorHAnsi"/>
          <w:b/>
          <w:bCs/>
          <w:color w:val="1F497D" w:themeColor="text2"/>
          <w:sz w:val="28"/>
          <w:szCs w:val="28"/>
        </w:rPr>
        <w:t xml:space="preserve">Gamma </w:t>
      </w:r>
      <w:proofErr w:type="spellStart"/>
      <w:r w:rsidRPr="00065386">
        <w:rPr>
          <w:rFonts w:asciiTheme="majorHAnsi" w:hAnsiTheme="majorHAnsi"/>
          <w:b/>
          <w:bCs/>
          <w:color w:val="1F497D" w:themeColor="text2"/>
          <w:sz w:val="28"/>
          <w:szCs w:val="28"/>
        </w:rPr>
        <w:t>glutamyl</w:t>
      </w:r>
      <w:proofErr w:type="spellEnd"/>
      <w:r w:rsidRPr="00065386">
        <w:rPr>
          <w:rFonts w:asciiTheme="majorHAnsi" w:hAnsiTheme="majorHAnsi"/>
          <w:b/>
          <w:bCs/>
          <w:color w:val="1F497D" w:themeColor="text2"/>
          <w:sz w:val="28"/>
          <w:szCs w:val="28"/>
        </w:rPr>
        <w:t xml:space="preserve"> </w:t>
      </w:r>
      <w:proofErr w:type="spellStart"/>
      <w:r w:rsidRPr="00065386">
        <w:rPr>
          <w:rFonts w:asciiTheme="majorHAnsi" w:hAnsiTheme="majorHAnsi"/>
          <w:b/>
          <w:bCs/>
          <w:color w:val="1F497D" w:themeColor="text2"/>
          <w:sz w:val="28"/>
          <w:szCs w:val="28"/>
        </w:rPr>
        <w:t>transferase</w:t>
      </w:r>
      <w:proofErr w:type="spellEnd"/>
      <w:r w:rsidRPr="00065386">
        <w:rPr>
          <w:rFonts w:asciiTheme="majorHAnsi" w:hAnsiTheme="majorHAnsi"/>
          <w:b/>
          <w:bCs/>
          <w:color w:val="1F497D" w:themeColor="text2"/>
          <w:sz w:val="28"/>
          <w:szCs w:val="28"/>
        </w:rPr>
        <w:t xml:space="preserve"> as a diagnostic marker of metabolic syndrome</w:t>
      </w:r>
    </w:p>
    <w:p w:rsidR="006A1991" w:rsidRDefault="006A1991" w:rsidP="006A1991">
      <w:pPr>
        <w:spacing w:after="0" w:line="360" w:lineRule="auto"/>
        <w:rPr>
          <w:rFonts w:asciiTheme="majorHAnsi" w:hAnsiTheme="majorHAnsi"/>
          <w:b/>
          <w:color w:val="000000"/>
          <w:sz w:val="20"/>
          <w:szCs w:val="20"/>
          <w:shd w:val="clear" w:color="auto" w:fill="FFFFFF"/>
        </w:rPr>
      </w:pPr>
      <w:r w:rsidRPr="00065386">
        <w:rPr>
          <w:rFonts w:asciiTheme="majorHAnsi" w:hAnsiTheme="majorHAnsi"/>
          <w:b/>
          <w:color w:val="000000"/>
          <w:sz w:val="20"/>
          <w:szCs w:val="20"/>
          <w:shd w:val="clear" w:color="auto" w:fill="FFFFFF"/>
        </w:rPr>
        <w:t xml:space="preserve">KISHOR PHEPALE, ARCHANA </w:t>
      </w:r>
      <w:proofErr w:type="gramStart"/>
      <w:r w:rsidRPr="00065386">
        <w:rPr>
          <w:rFonts w:asciiTheme="majorHAnsi" w:hAnsiTheme="majorHAnsi"/>
          <w:b/>
          <w:color w:val="000000"/>
          <w:sz w:val="20"/>
          <w:szCs w:val="20"/>
          <w:shd w:val="clear" w:color="auto" w:fill="FFFFFF"/>
        </w:rPr>
        <w:t>GOKHROO</w:t>
      </w:r>
      <w:r w:rsidRPr="00065386">
        <w:rPr>
          <w:rFonts w:asciiTheme="majorHAnsi" w:hAnsiTheme="majorHAnsi"/>
          <w:b/>
          <w:color w:val="000000"/>
          <w:sz w:val="20"/>
          <w:szCs w:val="20"/>
        </w:rPr>
        <w:t xml:space="preserve"> ,</w:t>
      </w:r>
      <w:proofErr w:type="gramEnd"/>
      <w:r w:rsidRPr="00065386">
        <w:rPr>
          <w:rFonts w:asciiTheme="majorHAnsi" w:hAnsiTheme="majorHAnsi"/>
          <w:b/>
          <w:color w:val="000000"/>
          <w:sz w:val="20"/>
          <w:szCs w:val="20"/>
        </w:rPr>
        <w:t xml:space="preserve"> </w:t>
      </w:r>
      <w:r w:rsidRPr="00065386">
        <w:rPr>
          <w:rFonts w:asciiTheme="majorHAnsi" w:hAnsiTheme="majorHAnsi"/>
          <w:b/>
          <w:color w:val="000000"/>
          <w:sz w:val="20"/>
          <w:szCs w:val="20"/>
          <w:shd w:val="clear" w:color="auto" w:fill="FFFFFF"/>
        </w:rPr>
        <w:t xml:space="preserve">RAJESH JAIN, RAMESH CHAND SHARMA, </w:t>
      </w:r>
    </w:p>
    <w:p w:rsidR="006A1991" w:rsidRDefault="006A1991" w:rsidP="006A1991">
      <w:pPr>
        <w:spacing w:after="0" w:line="360" w:lineRule="auto"/>
        <w:rPr>
          <w:rFonts w:asciiTheme="majorHAnsi" w:hAnsiTheme="majorHAnsi"/>
          <w:color w:val="000000"/>
          <w:sz w:val="20"/>
          <w:szCs w:val="20"/>
          <w:shd w:val="clear" w:color="auto" w:fill="FFFFFF"/>
        </w:rPr>
      </w:pPr>
      <w:r w:rsidRPr="00065386">
        <w:rPr>
          <w:rFonts w:asciiTheme="majorHAnsi" w:hAnsiTheme="majorHAnsi"/>
          <w:b/>
          <w:color w:val="000000"/>
          <w:sz w:val="20"/>
          <w:szCs w:val="20"/>
          <w:shd w:val="clear" w:color="auto" w:fill="FFFFFF"/>
        </w:rPr>
        <w:t>SUNIL KUMAR AREN</w:t>
      </w:r>
      <w:r w:rsidRPr="00065386">
        <w:rPr>
          <w:rFonts w:asciiTheme="majorHAnsi" w:hAnsiTheme="majorHAnsi"/>
          <w:color w:val="000000"/>
          <w:sz w:val="20"/>
          <w:szCs w:val="20"/>
          <w:shd w:val="clear" w:color="auto" w:fill="FFFFFF"/>
        </w:rPr>
        <w:t xml:space="preserve"> </w:t>
      </w:r>
    </w:p>
    <w:p w:rsidR="006A1991" w:rsidRPr="00065386" w:rsidRDefault="006A1991" w:rsidP="006A1991">
      <w:pPr>
        <w:spacing w:after="0" w:line="360" w:lineRule="auto"/>
        <w:rPr>
          <w:rFonts w:asciiTheme="majorHAnsi" w:hAnsiTheme="majorHAnsi"/>
          <w:color w:val="000000"/>
          <w:sz w:val="18"/>
          <w:szCs w:val="18"/>
          <w:shd w:val="clear" w:color="auto" w:fill="FFFFFF"/>
        </w:rPr>
      </w:pPr>
      <w:r w:rsidRPr="00065386">
        <w:rPr>
          <w:rFonts w:asciiTheme="majorHAnsi" w:hAnsiTheme="majorHAnsi"/>
          <w:color w:val="000000"/>
          <w:sz w:val="20"/>
          <w:szCs w:val="20"/>
        </w:rPr>
        <w:br/>
      </w:r>
      <w:r w:rsidRPr="00065386">
        <w:rPr>
          <w:rFonts w:asciiTheme="majorHAnsi" w:hAnsiTheme="majorHAnsi"/>
          <w:sz w:val="18"/>
          <w:szCs w:val="18"/>
        </w:rPr>
        <w:t xml:space="preserve">Department of </w:t>
      </w:r>
      <w:proofErr w:type="gramStart"/>
      <w:r w:rsidRPr="00065386">
        <w:rPr>
          <w:rFonts w:asciiTheme="majorHAnsi" w:hAnsiTheme="majorHAnsi"/>
          <w:sz w:val="18"/>
          <w:szCs w:val="18"/>
        </w:rPr>
        <w:t>Medicine</w:t>
      </w:r>
      <w:r w:rsidRPr="00065386">
        <w:rPr>
          <w:rFonts w:asciiTheme="majorHAnsi" w:hAnsiTheme="majorHAnsi"/>
          <w:color w:val="000000"/>
          <w:sz w:val="18"/>
          <w:szCs w:val="18"/>
          <w:shd w:val="clear" w:color="auto" w:fill="FFFFFF"/>
        </w:rPr>
        <w:t xml:space="preserve"> ,</w:t>
      </w:r>
      <w:proofErr w:type="gramEnd"/>
      <w:r w:rsidRPr="00065386">
        <w:rPr>
          <w:rFonts w:asciiTheme="majorHAnsi" w:hAnsiTheme="majorHAnsi"/>
          <w:color w:val="000000"/>
          <w:sz w:val="18"/>
          <w:szCs w:val="18"/>
          <w:shd w:val="clear" w:color="auto" w:fill="FFFFFF"/>
        </w:rPr>
        <w:t xml:space="preserve"> JLN Medical College Campus, Ajmer (RAJ.) </w:t>
      </w:r>
      <w:r w:rsidRPr="00065386">
        <w:rPr>
          <w:rFonts w:asciiTheme="majorHAnsi" w:hAnsiTheme="majorHAnsi"/>
          <w:color w:val="000000"/>
          <w:sz w:val="18"/>
          <w:szCs w:val="18"/>
        </w:rPr>
        <w:br/>
      </w:r>
      <w:r w:rsidRPr="00065386">
        <w:rPr>
          <w:rFonts w:asciiTheme="majorHAnsi" w:hAnsiTheme="majorHAnsi"/>
          <w:color w:val="000000"/>
          <w:sz w:val="18"/>
          <w:szCs w:val="18"/>
          <w:shd w:val="clear" w:color="auto" w:fill="FFFFFF"/>
        </w:rPr>
        <w:t>Name of the Institute/college: JLN Medical College Campus, Ajmer (RAJ.)</w:t>
      </w:r>
    </w:p>
    <w:p w:rsidR="006A1991" w:rsidRPr="00065386" w:rsidRDefault="006A1991" w:rsidP="006A1991">
      <w:pPr>
        <w:pBdr>
          <w:bottom w:val="single" w:sz="6" w:space="1" w:color="auto"/>
        </w:pBdr>
        <w:spacing w:after="0" w:line="360" w:lineRule="auto"/>
        <w:rPr>
          <w:rFonts w:asciiTheme="majorHAnsi" w:hAnsiTheme="majorHAnsi"/>
          <w:color w:val="000000"/>
          <w:sz w:val="18"/>
          <w:szCs w:val="18"/>
          <w:shd w:val="clear" w:color="auto" w:fill="FFFFFF"/>
        </w:rPr>
      </w:pPr>
      <w:r w:rsidRPr="00065386">
        <w:rPr>
          <w:rFonts w:asciiTheme="majorHAnsi" w:hAnsiTheme="majorHAnsi"/>
          <w:color w:val="000000"/>
          <w:sz w:val="18"/>
          <w:szCs w:val="18"/>
          <w:shd w:val="clear" w:color="auto" w:fill="FFFFFF"/>
        </w:rPr>
        <w:t xml:space="preserve">Corresponding author: </w:t>
      </w:r>
      <w:proofErr w:type="spellStart"/>
      <w:r w:rsidRPr="00065386">
        <w:rPr>
          <w:rFonts w:asciiTheme="majorHAnsi" w:hAnsiTheme="majorHAnsi"/>
          <w:color w:val="000000"/>
          <w:sz w:val="18"/>
          <w:szCs w:val="18"/>
          <w:shd w:val="clear" w:color="auto" w:fill="FFFFFF"/>
        </w:rPr>
        <w:t>Kishor</w:t>
      </w:r>
      <w:proofErr w:type="spellEnd"/>
      <w:r w:rsidRPr="00065386">
        <w:rPr>
          <w:rFonts w:asciiTheme="majorHAnsi" w:hAnsiTheme="majorHAnsi"/>
          <w:color w:val="000000"/>
          <w:sz w:val="18"/>
          <w:szCs w:val="18"/>
          <w:shd w:val="clear" w:color="auto" w:fill="FFFFFF"/>
        </w:rPr>
        <w:t xml:space="preserve"> </w:t>
      </w:r>
      <w:proofErr w:type="spellStart"/>
      <w:r w:rsidRPr="00065386">
        <w:rPr>
          <w:rFonts w:asciiTheme="majorHAnsi" w:hAnsiTheme="majorHAnsi"/>
          <w:color w:val="000000"/>
          <w:sz w:val="18"/>
          <w:szCs w:val="18"/>
          <w:shd w:val="clear" w:color="auto" w:fill="FFFFFF"/>
        </w:rPr>
        <w:t>Phepale</w:t>
      </w:r>
      <w:proofErr w:type="spellEnd"/>
    </w:p>
    <w:p w:rsidR="006A1991" w:rsidRPr="008843AC" w:rsidRDefault="006A1991" w:rsidP="006A1991">
      <w:pPr>
        <w:widowControl w:val="0"/>
        <w:autoSpaceDE w:val="0"/>
        <w:autoSpaceDN w:val="0"/>
        <w:adjustRightInd w:val="0"/>
        <w:spacing w:after="0" w:line="360" w:lineRule="auto"/>
        <w:rPr>
          <w:rFonts w:ascii="Times New Roman" w:hAnsi="Times New Roman"/>
          <w:b/>
          <w:bCs/>
          <w:sz w:val="20"/>
          <w:szCs w:val="20"/>
        </w:rPr>
      </w:pPr>
      <w:r w:rsidRPr="008843AC">
        <w:rPr>
          <w:rFonts w:ascii="Times New Roman" w:hAnsi="Times New Roman"/>
          <w:color w:val="000000"/>
          <w:sz w:val="20"/>
          <w:szCs w:val="20"/>
        </w:rPr>
        <w:br/>
      </w:r>
      <w:r w:rsidRPr="008843AC">
        <w:rPr>
          <w:rFonts w:ascii="Times New Roman" w:hAnsi="Times New Roman"/>
          <w:b/>
          <w:bCs/>
          <w:sz w:val="20"/>
          <w:szCs w:val="20"/>
        </w:rPr>
        <w:t>Abstract</w:t>
      </w:r>
    </w:p>
    <w:p w:rsidR="006A1991" w:rsidRPr="00065386" w:rsidRDefault="006A1991" w:rsidP="006A1991">
      <w:pPr>
        <w:widowControl w:val="0"/>
        <w:overflowPunct w:val="0"/>
        <w:autoSpaceDE w:val="0"/>
        <w:autoSpaceDN w:val="0"/>
        <w:adjustRightInd w:val="0"/>
        <w:spacing w:after="0" w:line="360" w:lineRule="auto"/>
        <w:ind w:right="20"/>
        <w:jc w:val="both"/>
        <w:rPr>
          <w:rFonts w:ascii="Times New Roman" w:hAnsi="Times New Roman"/>
          <w:sz w:val="18"/>
          <w:szCs w:val="18"/>
        </w:rPr>
      </w:pPr>
      <w:r w:rsidRPr="00065386">
        <w:rPr>
          <w:rFonts w:ascii="Times New Roman" w:hAnsi="Times New Roman"/>
          <w:b/>
          <w:sz w:val="18"/>
          <w:szCs w:val="18"/>
        </w:rPr>
        <w:t>Introduction:</w:t>
      </w:r>
      <w:r w:rsidRPr="00065386">
        <w:rPr>
          <w:rFonts w:ascii="Times New Roman" w:hAnsi="Times New Roman"/>
          <w:sz w:val="18"/>
          <w:szCs w:val="18"/>
        </w:rPr>
        <w:t xml:space="preserve"> In an era of a cardiovascular epidemic an imminent search for more sensitive and specific markers of sub-clinical inflammation, </w:t>
      </w:r>
      <w:proofErr w:type="spellStart"/>
      <w:r w:rsidRPr="00065386">
        <w:rPr>
          <w:rFonts w:ascii="Times New Roman" w:hAnsi="Times New Roman"/>
          <w:sz w:val="18"/>
          <w:szCs w:val="18"/>
        </w:rPr>
        <w:t>atherogenesis</w:t>
      </w:r>
      <w:proofErr w:type="spellEnd"/>
      <w:r w:rsidRPr="00065386">
        <w:rPr>
          <w:rFonts w:ascii="Times New Roman" w:hAnsi="Times New Roman"/>
          <w:sz w:val="18"/>
          <w:szCs w:val="18"/>
        </w:rPr>
        <w:t xml:space="preserve">, and increased adiposity has been sought. This study attempted to assess how serum Gamma </w:t>
      </w:r>
      <w:proofErr w:type="spellStart"/>
      <w:r w:rsidRPr="00065386">
        <w:rPr>
          <w:rFonts w:ascii="Times New Roman" w:hAnsi="Times New Roman"/>
          <w:sz w:val="18"/>
          <w:szCs w:val="18"/>
        </w:rPr>
        <w:t>GlutamylTransferase</w:t>
      </w:r>
      <w:proofErr w:type="spellEnd"/>
      <w:r w:rsidRPr="00065386">
        <w:rPr>
          <w:rFonts w:ascii="Times New Roman" w:hAnsi="Times New Roman"/>
          <w:sz w:val="18"/>
          <w:szCs w:val="18"/>
        </w:rPr>
        <w:t xml:space="preserve"> performed as an ideal endogenous substance for the diagnosis of metabolic syndrome and hence estimate cardiovascular risk.</w:t>
      </w:r>
    </w:p>
    <w:p w:rsidR="006A1991" w:rsidRPr="00065386" w:rsidRDefault="006A1991" w:rsidP="006A1991">
      <w:pPr>
        <w:widowControl w:val="0"/>
        <w:autoSpaceDE w:val="0"/>
        <w:autoSpaceDN w:val="0"/>
        <w:adjustRightInd w:val="0"/>
        <w:spacing w:after="0" w:line="360" w:lineRule="auto"/>
        <w:jc w:val="both"/>
        <w:rPr>
          <w:rFonts w:ascii="Times New Roman" w:hAnsi="Times New Roman"/>
          <w:sz w:val="18"/>
          <w:szCs w:val="18"/>
        </w:rPr>
      </w:pPr>
      <w:proofErr w:type="spellStart"/>
      <w:r w:rsidRPr="00065386">
        <w:rPr>
          <w:rFonts w:ascii="Times New Roman" w:hAnsi="Times New Roman"/>
          <w:b/>
          <w:bCs/>
          <w:sz w:val="18"/>
          <w:szCs w:val="18"/>
        </w:rPr>
        <w:t>Aim</w:t>
      </w:r>
      <w:proofErr w:type="gramStart"/>
      <w:r w:rsidRPr="00065386">
        <w:rPr>
          <w:rFonts w:ascii="Times New Roman" w:hAnsi="Times New Roman"/>
          <w:b/>
          <w:bCs/>
          <w:sz w:val="18"/>
          <w:szCs w:val="18"/>
        </w:rPr>
        <w:t>:</w:t>
      </w:r>
      <w:r w:rsidRPr="00065386">
        <w:rPr>
          <w:rFonts w:ascii="Times New Roman" w:hAnsi="Times New Roman"/>
          <w:sz w:val="18"/>
          <w:szCs w:val="18"/>
        </w:rPr>
        <w:t>To</w:t>
      </w:r>
      <w:proofErr w:type="spellEnd"/>
      <w:proofErr w:type="gramEnd"/>
      <w:r w:rsidRPr="00065386">
        <w:rPr>
          <w:rFonts w:ascii="Times New Roman" w:hAnsi="Times New Roman"/>
          <w:sz w:val="18"/>
          <w:szCs w:val="18"/>
        </w:rPr>
        <w:t xml:space="preserve"> assess the role of GGT as a marker in the diagnosis of metabolic syndrome, and to determine the sensitivity and specificity of the same</w:t>
      </w:r>
    </w:p>
    <w:p w:rsidR="006A1991" w:rsidRPr="00065386" w:rsidRDefault="006A1991" w:rsidP="006A1991">
      <w:pPr>
        <w:widowControl w:val="0"/>
        <w:autoSpaceDE w:val="0"/>
        <w:autoSpaceDN w:val="0"/>
        <w:adjustRightInd w:val="0"/>
        <w:spacing w:after="0" w:line="360" w:lineRule="auto"/>
        <w:jc w:val="both"/>
        <w:rPr>
          <w:rFonts w:ascii="Times New Roman" w:hAnsi="Times New Roman"/>
          <w:sz w:val="18"/>
          <w:szCs w:val="18"/>
        </w:rPr>
      </w:pPr>
      <w:r w:rsidRPr="00065386">
        <w:rPr>
          <w:rFonts w:ascii="Times New Roman" w:hAnsi="Times New Roman"/>
          <w:b/>
          <w:bCs/>
          <w:sz w:val="18"/>
          <w:szCs w:val="18"/>
        </w:rPr>
        <w:t>Methods:</w:t>
      </w:r>
      <w:r w:rsidRPr="00065386">
        <w:rPr>
          <w:rFonts w:ascii="Times New Roman" w:hAnsi="Times New Roman"/>
          <w:sz w:val="18"/>
          <w:szCs w:val="18"/>
        </w:rPr>
        <w:t xml:space="preserve"> 250 subjects were chosen comprising cases of metabolic syndrome and equal number of controls. Patients were recruited into the study group after satisfying the IDF criteria for Metabolic Syndrome. GGT values were obtained for both groups apart from other parameters. The patients in the study were also evaluated for the presence of cardiovascular disease.</w:t>
      </w:r>
    </w:p>
    <w:p w:rsidR="006A1991" w:rsidRPr="00065386" w:rsidRDefault="006A1991" w:rsidP="006A1991">
      <w:pPr>
        <w:widowControl w:val="0"/>
        <w:autoSpaceDE w:val="0"/>
        <w:autoSpaceDN w:val="0"/>
        <w:adjustRightInd w:val="0"/>
        <w:spacing w:after="0" w:line="360" w:lineRule="auto"/>
        <w:jc w:val="both"/>
        <w:rPr>
          <w:rFonts w:ascii="Times New Roman" w:hAnsi="Times New Roman"/>
          <w:sz w:val="18"/>
          <w:szCs w:val="18"/>
        </w:rPr>
      </w:pPr>
      <w:r w:rsidRPr="00065386">
        <w:rPr>
          <w:rFonts w:ascii="Times New Roman" w:hAnsi="Times New Roman"/>
          <w:b/>
          <w:bCs/>
          <w:sz w:val="18"/>
          <w:szCs w:val="18"/>
        </w:rPr>
        <w:t>Results:</w:t>
      </w:r>
      <w:r w:rsidRPr="00065386">
        <w:rPr>
          <w:rFonts w:ascii="Times New Roman" w:hAnsi="Times New Roman"/>
          <w:sz w:val="18"/>
          <w:szCs w:val="18"/>
        </w:rPr>
        <w:t xml:space="preserve"> 84% cases had higher GGT levels in patients with metabolic syndrome. The sensitivity and specificity of GGT to diagnose patients with metabolic syndrome was found to be 84% and 91% (p&lt;0.01).</w:t>
      </w:r>
    </w:p>
    <w:p w:rsidR="006A1991" w:rsidRPr="00065386" w:rsidRDefault="006A1991" w:rsidP="006A1991">
      <w:pPr>
        <w:widowControl w:val="0"/>
        <w:pBdr>
          <w:bottom w:val="single" w:sz="6" w:space="1" w:color="auto"/>
        </w:pBdr>
        <w:autoSpaceDE w:val="0"/>
        <w:autoSpaceDN w:val="0"/>
        <w:adjustRightInd w:val="0"/>
        <w:spacing w:after="0" w:line="360" w:lineRule="auto"/>
        <w:jc w:val="both"/>
        <w:rPr>
          <w:rFonts w:ascii="Times New Roman" w:hAnsi="Times New Roman"/>
          <w:sz w:val="18"/>
          <w:szCs w:val="18"/>
        </w:rPr>
      </w:pPr>
      <w:r w:rsidRPr="00065386">
        <w:rPr>
          <w:rFonts w:ascii="Times New Roman" w:hAnsi="Times New Roman"/>
          <w:b/>
          <w:bCs/>
          <w:sz w:val="18"/>
          <w:szCs w:val="18"/>
        </w:rPr>
        <w:t>Conclusion:</w:t>
      </w:r>
      <w:r w:rsidRPr="00065386">
        <w:rPr>
          <w:rFonts w:ascii="Times New Roman" w:hAnsi="Times New Roman"/>
          <w:sz w:val="18"/>
          <w:szCs w:val="18"/>
        </w:rPr>
        <w:t xml:space="preserve"> Serum GGT appears to be a cost effective, easily available and fairly good marker for diagnosing patients with metabolic syndrome and is independent of other parameters. It is also a strong predictor of cardiovascular disease. Hence GGT probably has a position in algorithms for the evaluation of patients with metabolic syndrome.</w:t>
      </w:r>
    </w:p>
    <w:p w:rsidR="0006104F" w:rsidRDefault="0006104F" w:rsidP="006A1991">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137"/>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7A36"/>
    <w:rsid w:val="00070C72"/>
    <w:rsid w:val="00072DA0"/>
    <w:rsid w:val="0007482E"/>
    <w:rsid w:val="00076D66"/>
    <w:rsid w:val="000820D6"/>
    <w:rsid w:val="00084A3A"/>
    <w:rsid w:val="00092194"/>
    <w:rsid w:val="000959D7"/>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F3B53"/>
    <w:rsid w:val="002F6104"/>
    <w:rsid w:val="00301C21"/>
    <w:rsid w:val="00302B6F"/>
    <w:rsid w:val="0030706A"/>
    <w:rsid w:val="00311ADF"/>
    <w:rsid w:val="003227C9"/>
    <w:rsid w:val="00322CEE"/>
    <w:rsid w:val="00322E7F"/>
    <w:rsid w:val="0032359C"/>
    <w:rsid w:val="003421EE"/>
    <w:rsid w:val="003441B2"/>
    <w:rsid w:val="00346E78"/>
    <w:rsid w:val="00347071"/>
    <w:rsid w:val="003614A7"/>
    <w:rsid w:val="0036357B"/>
    <w:rsid w:val="00365505"/>
    <w:rsid w:val="00365A10"/>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5D55"/>
    <w:rsid w:val="003A6008"/>
    <w:rsid w:val="003A7A11"/>
    <w:rsid w:val="003B1C2B"/>
    <w:rsid w:val="003B2261"/>
    <w:rsid w:val="003B2B4B"/>
    <w:rsid w:val="003C11BF"/>
    <w:rsid w:val="003C3333"/>
    <w:rsid w:val="003C43DE"/>
    <w:rsid w:val="003C7662"/>
    <w:rsid w:val="003D2162"/>
    <w:rsid w:val="003D2E97"/>
    <w:rsid w:val="003E0333"/>
    <w:rsid w:val="003E1000"/>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6137"/>
    <w:rsid w:val="004B0F96"/>
    <w:rsid w:val="004B2295"/>
    <w:rsid w:val="004B274B"/>
    <w:rsid w:val="004B372A"/>
    <w:rsid w:val="004B414C"/>
    <w:rsid w:val="004B53B1"/>
    <w:rsid w:val="004B796A"/>
    <w:rsid w:val="004C02A1"/>
    <w:rsid w:val="004C70BC"/>
    <w:rsid w:val="004D3A3B"/>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145C"/>
    <w:rsid w:val="005A34A2"/>
    <w:rsid w:val="005A3E9F"/>
    <w:rsid w:val="005A5D36"/>
    <w:rsid w:val="005A6C06"/>
    <w:rsid w:val="005A6DEE"/>
    <w:rsid w:val="005B070D"/>
    <w:rsid w:val="005B2051"/>
    <w:rsid w:val="005B38F2"/>
    <w:rsid w:val="005B3CF6"/>
    <w:rsid w:val="005B7B47"/>
    <w:rsid w:val="005C1530"/>
    <w:rsid w:val="005D25C5"/>
    <w:rsid w:val="005D4E74"/>
    <w:rsid w:val="005E0562"/>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5008"/>
    <w:rsid w:val="00647EA3"/>
    <w:rsid w:val="006502A9"/>
    <w:rsid w:val="00651A2A"/>
    <w:rsid w:val="0065268C"/>
    <w:rsid w:val="00660EC9"/>
    <w:rsid w:val="00662460"/>
    <w:rsid w:val="00665BE5"/>
    <w:rsid w:val="006679FE"/>
    <w:rsid w:val="00670041"/>
    <w:rsid w:val="006703A2"/>
    <w:rsid w:val="00670AE1"/>
    <w:rsid w:val="006749E4"/>
    <w:rsid w:val="00683874"/>
    <w:rsid w:val="00685AA4"/>
    <w:rsid w:val="006877C3"/>
    <w:rsid w:val="00691E03"/>
    <w:rsid w:val="006947E2"/>
    <w:rsid w:val="006A1991"/>
    <w:rsid w:val="006A3838"/>
    <w:rsid w:val="006A5EE3"/>
    <w:rsid w:val="006B08BB"/>
    <w:rsid w:val="006B1E5A"/>
    <w:rsid w:val="006B7302"/>
    <w:rsid w:val="006C1D4F"/>
    <w:rsid w:val="006C57C3"/>
    <w:rsid w:val="006D0572"/>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374D"/>
    <w:rsid w:val="00733D8A"/>
    <w:rsid w:val="00743172"/>
    <w:rsid w:val="007441B2"/>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82BA4"/>
    <w:rsid w:val="0078359A"/>
    <w:rsid w:val="007845A0"/>
    <w:rsid w:val="00785106"/>
    <w:rsid w:val="00787513"/>
    <w:rsid w:val="007A1D70"/>
    <w:rsid w:val="007A2250"/>
    <w:rsid w:val="007B3B05"/>
    <w:rsid w:val="007B51B6"/>
    <w:rsid w:val="007B648D"/>
    <w:rsid w:val="007B79CF"/>
    <w:rsid w:val="007C0936"/>
    <w:rsid w:val="007C4564"/>
    <w:rsid w:val="007C4F84"/>
    <w:rsid w:val="007C5C1D"/>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6BE3"/>
    <w:rsid w:val="00821D4A"/>
    <w:rsid w:val="00822BAB"/>
    <w:rsid w:val="00823D90"/>
    <w:rsid w:val="008259B2"/>
    <w:rsid w:val="00826205"/>
    <w:rsid w:val="00835211"/>
    <w:rsid w:val="00841278"/>
    <w:rsid w:val="00841BB4"/>
    <w:rsid w:val="00855E5E"/>
    <w:rsid w:val="00856ED6"/>
    <w:rsid w:val="0086056E"/>
    <w:rsid w:val="00864366"/>
    <w:rsid w:val="0086751C"/>
    <w:rsid w:val="00872940"/>
    <w:rsid w:val="0087474B"/>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5C0"/>
    <w:rsid w:val="0098369A"/>
    <w:rsid w:val="00983713"/>
    <w:rsid w:val="00986667"/>
    <w:rsid w:val="00987217"/>
    <w:rsid w:val="00987E07"/>
    <w:rsid w:val="009908DF"/>
    <w:rsid w:val="00997771"/>
    <w:rsid w:val="0099781E"/>
    <w:rsid w:val="009A00D5"/>
    <w:rsid w:val="009A29A7"/>
    <w:rsid w:val="009A32F3"/>
    <w:rsid w:val="009A57D0"/>
    <w:rsid w:val="009A5E78"/>
    <w:rsid w:val="009A67B0"/>
    <w:rsid w:val="009B003B"/>
    <w:rsid w:val="009B1C6A"/>
    <w:rsid w:val="009B5CFB"/>
    <w:rsid w:val="009C0F40"/>
    <w:rsid w:val="009C7481"/>
    <w:rsid w:val="009D1A58"/>
    <w:rsid w:val="009D7B34"/>
    <w:rsid w:val="009E24FE"/>
    <w:rsid w:val="009E591E"/>
    <w:rsid w:val="009F054D"/>
    <w:rsid w:val="009F3021"/>
    <w:rsid w:val="009F3E31"/>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4137"/>
    <w:rsid w:val="00A87A61"/>
    <w:rsid w:val="00A87F1B"/>
    <w:rsid w:val="00A9038A"/>
    <w:rsid w:val="00A91593"/>
    <w:rsid w:val="00A93BC1"/>
    <w:rsid w:val="00A96E85"/>
    <w:rsid w:val="00AA17AE"/>
    <w:rsid w:val="00AA1F6B"/>
    <w:rsid w:val="00AA6364"/>
    <w:rsid w:val="00AB2B07"/>
    <w:rsid w:val="00AB5D92"/>
    <w:rsid w:val="00AC2412"/>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1DA3"/>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06E0D"/>
    <w:rsid w:val="00D11E22"/>
    <w:rsid w:val="00D1420C"/>
    <w:rsid w:val="00D143E9"/>
    <w:rsid w:val="00D17C3F"/>
    <w:rsid w:val="00D21521"/>
    <w:rsid w:val="00D239E2"/>
    <w:rsid w:val="00D25869"/>
    <w:rsid w:val="00D26275"/>
    <w:rsid w:val="00D275BC"/>
    <w:rsid w:val="00D27DA6"/>
    <w:rsid w:val="00D357D6"/>
    <w:rsid w:val="00D40D94"/>
    <w:rsid w:val="00D428E2"/>
    <w:rsid w:val="00D5443B"/>
    <w:rsid w:val="00D55CD4"/>
    <w:rsid w:val="00D60FDF"/>
    <w:rsid w:val="00D6102C"/>
    <w:rsid w:val="00D66BCA"/>
    <w:rsid w:val="00D66C06"/>
    <w:rsid w:val="00D70CE8"/>
    <w:rsid w:val="00D70EF9"/>
    <w:rsid w:val="00D728D5"/>
    <w:rsid w:val="00D754E3"/>
    <w:rsid w:val="00D802A6"/>
    <w:rsid w:val="00D836F1"/>
    <w:rsid w:val="00D83DA9"/>
    <w:rsid w:val="00D871F6"/>
    <w:rsid w:val="00D878D4"/>
    <w:rsid w:val="00D87C06"/>
    <w:rsid w:val="00D92E49"/>
    <w:rsid w:val="00D95718"/>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10E73"/>
    <w:rsid w:val="00E11403"/>
    <w:rsid w:val="00E15B2F"/>
    <w:rsid w:val="00E15BD7"/>
    <w:rsid w:val="00E15D9B"/>
    <w:rsid w:val="00E20B79"/>
    <w:rsid w:val="00E22354"/>
    <w:rsid w:val="00E23C89"/>
    <w:rsid w:val="00E26BD5"/>
    <w:rsid w:val="00E307D4"/>
    <w:rsid w:val="00E3106C"/>
    <w:rsid w:val="00E32772"/>
    <w:rsid w:val="00E32CF1"/>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4091"/>
    <w:rsid w:val="00F45159"/>
    <w:rsid w:val="00F47B7C"/>
    <w:rsid w:val="00F53AB0"/>
    <w:rsid w:val="00F5541E"/>
    <w:rsid w:val="00F55CAE"/>
    <w:rsid w:val="00F6665C"/>
    <w:rsid w:val="00F703DB"/>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C4FF9"/>
    <w:rsid w:val="00FC54E2"/>
    <w:rsid w:val="00FD1825"/>
    <w:rsid w:val="00FD419C"/>
    <w:rsid w:val="00FD632C"/>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semiHidden/>
    <w:unhideWhenUsed/>
    <w:rsid w:val="00A841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137"/>
    <w:rPr>
      <w:rFonts w:eastAsiaTheme="minorEastAsia"/>
    </w:rPr>
  </w:style>
  <w:style w:type="paragraph" w:customStyle="1" w:styleId="Default">
    <w:name w:val="Default"/>
    <w:rsid w:val="005E0562"/>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5E0562"/>
    <w:rPr>
      <w:color w:val="0000FF"/>
      <w:u w:val="single"/>
    </w:rPr>
  </w:style>
  <w:style w:type="character" w:customStyle="1" w:styleId="apple-converted-space">
    <w:name w:val="apple-converted-space"/>
    <w:basedOn w:val="DefaultParagraphFont"/>
    <w:rsid w:val="005E0562"/>
  </w:style>
  <w:style w:type="paragraph" w:styleId="NoSpacing">
    <w:name w:val="No Spacing"/>
    <w:uiPriority w:val="1"/>
    <w:qFormat/>
    <w:rsid w:val="005E0562"/>
    <w:pPr>
      <w:spacing w:after="0" w:line="240" w:lineRule="auto"/>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2016-07-03T02:55:00Z</dcterms:created>
  <dcterms:modified xsi:type="dcterms:W3CDTF">2016-07-03T02:55:00Z</dcterms:modified>
</cp:coreProperties>
</file>